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188" w:lineRule="auto"/>
        <w:ind w:firstLine="27"/>
        <w:rPr>
          <w:rFonts w:ascii="Times New Roman" w:hAnsi="Times New Roman" w:eastAsia="Times New Roman" w:cs="Times New Roman"/>
          <w:sz w:val="32"/>
          <w:szCs w:val="32"/>
        </w:rPr>
      </w:pPr>
      <w:bookmarkStart w:id="0" w:name="_GoBack"/>
      <w:bookmarkEnd w:id="0"/>
      <w:r>
        <w:rPr>
          <w:rFonts w:ascii="黑体" w:hAnsi="黑体" w:eastAsia="黑体" w:cs="黑体"/>
          <w:spacing w:val="-11"/>
          <w:sz w:val="32"/>
          <w:szCs w:val="32"/>
        </w:rPr>
        <w:t>附件</w:t>
      </w:r>
      <w:r>
        <w:rPr>
          <w:rFonts w:ascii="黑体" w:hAnsi="黑体" w:eastAsia="黑体" w:cs="黑体"/>
          <w:spacing w:val="-40"/>
          <w:sz w:val="32"/>
          <w:szCs w:val="32"/>
        </w:rPr>
        <w:t xml:space="preserve"> </w:t>
      </w:r>
      <w:r>
        <w:rPr>
          <w:rFonts w:ascii="Times New Roman" w:hAnsi="Times New Roman" w:eastAsia="Times New Roman" w:cs="Times New Roman"/>
          <w:spacing w:val="-11"/>
          <w:sz w:val="32"/>
          <w:szCs w:val="32"/>
        </w:rPr>
        <w:t>1</w:t>
      </w:r>
    </w:p>
    <w:p>
      <w:pPr>
        <w:spacing w:line="376" w:lineRule="auto"/>
        <w:rPr>
          <w:rFonts w:ascii="宋体"/>
        </w:rPr>
      </w:pPr>
    </w:p>
    <w:p>
      <w:pPr>
        <w:spacing w:line="560" w:lineRule="exact"/>
        <w:ind w:left="323" w:hanging="323"/>
        <w:jc w:val="center"/>
        <w:rPr>
          <w:rFonts w:hint="eastAsia" w:ascii="方正小标宋_GBK" w:hAnsi="Calibri" w:eastAsia="方正小标宋_GBK" w:cs="Times New Roman"/>
          <w:snapToGrid/>
          <w:color w:val="auto"/>
          <w:kern w:val="2"/>
          <w:sz w:val="44"/>
          <w:szCs w:val="44"/>
        </w:rPr>
      </w:pPr>
      <w:r>
        <w:rPr>
          <w:rFonts w:ascii="方正小标宋_GBK" w:hAnsi="Calibri" w:eastAsia="方正小标宋_GBK" w:cs="Times New Roman"/>
          <w:snapToGrid/>
          <w:color w:val="auto"/>
          <w:kern w:val="2"/>
          <w:sz w:val="44"/>
          <w:szCs w:val="44"/>
        </w:rPr>
        <w:t>第八届中国国际“互联网+”大学生创新创业大赛高教主赛道方案</w:t>
      </w:r>
    </w:p>
    <w:p>
      <w:pPr>
        <w:spacing w:line="560" w:lineRule="exact"/>
        <w:rPr>
          <w:rFonts w:ascii="宋体"/>
        </w:rPr>
      </w:pPr>
    </w:p>
    <w:p>
      <w:pPr>
        <w:spacing w:line="560" w:lineRule="exact"/>
        <w:ind w:firstLine="652"/>
        <w:jc w:val="both"/>
        <w:rPr>
          <w:rFonts w:ascii="仿宋" w:hAnsi="仿宋" w:eastAsia="仿宋" w:cs="仿宋"/>
          <w:sz w:val="32"/>
          <w:szCs w:val="32"/>
        </w:rPr>
      </w:pPr>
      <w:r>
        <w:rPr>
          <w:rFonts w:ascii="仿宋_GB2312" w:hAnsi="仿宋_GB2312" w:eastAsia="仿宋_GB2312" w:cs="仿宋_GB2312"/>
          <w:snapToGrid/>
          <w:color w:val="auto"/>
          <w:sz w:val="32"/>
          <w:szCs w:val="32"/>
        </w:rPr>
        <w:t>第八届中国国际“互联网+”大学生创新创业大赛设高教主赛道（含国际参赛项目），具体实施方案如下。</w:t>
      </w:r>
    </w:p>
    <w:p>
      <w:pPr>
        <w:spacing w:line="560" w:lineRule="exact"/>
        <w:ind w:firstLine="658"/>
        <w:jc w:val="both"/>
        <w:rPr>
          <w:rFonts w:ascii="黑体" w:hAnsi="仿宋_GB2312" w:eastAsia="黑体" w:cs="仿宋_GB2312"/>
          <w:snapToGrid/>
          <w:color w:val="auto"/>
          <w:sz w:val="32"/>
          <w:szCs w:val="32"/>
        </w:rPr>
      </w:pPr>
      <w:r>
        <w:rPr>
          <w:rFonts w:ascii="黑体" w:hAnsi="仿宋_GB2312" w:eastAsia="黑体" w:cs="仿宋_GB2312"/>
          <w:snapToGrid/>
          <w:color w:val="auto"/>
          <w:sz w:val="32"/>
          <w:szCs w:val="32"/>
        </w:rPr>
        <w:t>一、参赛项目类型</w:t>
      </w:r>
    </w:p>
    <w:p>
      <w:pPr>
        <w:spacing w:line="560" w:lineRule="exact"/>
        <w:ind w:firstLine="631"/>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（一）新工科类项目：大数据、云计算、人工智能、区块链、虚拟现实、智能制造、网络空间安全、机器人工程、工业自动化、新材料等领域，符合新工科建设理念和要求的项目；</w:t>
      </w:r>
    </w:p>
    <w:p>
      <w:pPr>
        <w:spacing w:line="560" w:lineRule="exact"/>
        <w:ind w:firstLine="637"/>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（二）新医科类项目</w:t>
      </w:r>
      <w:r>
        <w:rPr>
          <w:rFonts w:hint="eastAsia" w:ascii="仿宋_GB2312" w:hAnsi="仿宋_GB2312" w:eastAsia="仿宋_GB2312" w:cs="仿宋_GB2312"/>
          <w:snapToGrid/>
          <w:color w:val="auto"/>
          <w:sz w:val="32"/>
          <w:szCs w:val="32"/>
        </w:rPr>
        <w:t>：</w:t>
      </w:r>
      <w:r>
        <w:rPr>
          <w:rFonts w:ascii="仿宋_GB2312" w:hAnsi="仿宋_GB2312" w:eastAsia="仿宋_GB2312" w:cs="仿宋_GB2312"/>
          <w:snapToGrid/>
          <w:color w:val="auto"/>
          <w:sz w:val="32"/>
          <w:szCs w:val="32"/>
        </w:rPr>
        <w:t>现代医疗技术、智能医疗设备、新药研发、健康康养、食药保健、智能医学、生物技术、生物材料等领域，符合新医科建设理念和要求的项目；</w:t>
      </w:r>
    </w:p>
    <w:p>
      <w:pPr>
        <w:spacing w:line="560" w:lineRule="exact"/>
        <w:ind w:firstLine="63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（三）新农科类项目：现代种业、智慧农业、智能农机装备、农业大数据</w:t>
      </w:r>
      <w:r>
        <w:rPr>
          <w:rFonts w:hint="eastAsia" w:ascii="仿宋_GB2312" w:hAnsi="仿宋_GB2312" w:eastAsia="仿宋_GB2312" w:cs="仿宋_GB2312"/>
          <w:snapToGrid/>
          <w:color w:val="auto"/>
          <w:sz w:val="32"/>
          <w:szCs w:val="32"/>
        </w:rPr>
        <w:t>、</w:t>
      </w:r>
      <w:r>
        <w:rPr>
          <w:rFonts w:ascii="仿宋_GB2312" w:hAnsi="仿宋_GB2312" w:eastAsia="仿宋_GB2312" w:cs="仿宋_GB2312"/>
          <w:snapToGrid/>
          <w:color w:val="auto"/>
          <w:sz w:val="32"/>
          <w:szCs w:val="32"/>
        </w:rPr>
        <w:t>食品营养、休闲农业、森林康养、生态修复、农业碳汇等领域，符合新农科建设理念和要求的项目；</w:t>
      </w:r>
    </w:p>
    <w:p>
      <w:pPr>
        <w:spacing w:line="560" w:lineRule="exact"/>
        <w:ind w:firstLine="62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（四）新文科类项目：文化教育、数字经济、金融科技、财经、法务、融媒体、翻译、旅游休闲、动漫、文创设计与开发、电子商务、物流</w:t>
      </w:r>
      <w:r>
        <w:rPr>
          <w:rFonts w:hint="eastAsia" w:ascii="仿宋_GB2312" w:hAnsi="仿宋_GB2312" w:eastAsia="仿宋_GB2312" w:cs="仿宋_GB2312"/>
          <w:snapToGrid/>
          <w:color w:val="auto"/>
          <w:sz w:val="32"/>
          <w:szCs w:val="32"/>
        </w:rPr>
        <w:t>、</w:t>
      </w:r>
      <w:r>
        <w:rPr>
          <w:rFonts w:ascii="仿宋_GB2312" w:hAnsi="仿宋_GB2312" w:eastAsia="仿宋_GB2312" w:cs="仿宋_GB2312"/>
          <w:snapToGrid/>
          <w:color w:val="auto"/>
          <w:sz w:val="32"/>
          <w:szCs w:val="32"/>
        </w:rPr>
        <w:t>体育、非物质文化遗产保护、社会工作、家政服务、养老服务等领域，符合新文科建设理念和要求的项目。</w:t>
      </w:r>
    </w:p>
    <w:p>
      <w:pPr>
        <w:spacing w:line="560" w:lineRule="exact"/>
        <w:ind w:firstLine="646"/>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参赛项目团队应认真了解和把握“四新”发展要求，结合以上分类及项目实际</w:t>
      </w:r>
      <w:r>
        <w:rPr>
          <w:rFonts w:hint="eastAsia" w:ascii="仿宋_GB2312" w:hAnsi="仿宋_GB2312" w:eastAsia="仿宋_GB2312" w:cs="仿宋_GB2312"/>
          <w:snapToGrid/>
          <w:color w:val="auto"/>
          <w:sz w:val="32"/>
          <w:szCs w:val="32"/>
        </w:rPr>
        <w:t>，</w:t>
      </w:r>
      <w:r>
        <w:rPr>
          <w:rFonts w:ascii="仿宋_GB2312" w:hAnsi="仿宋_GB2312" w:eastAsia="仿宋_GB2312" w:cs="仿宋_GB2312"/>
          <w:snapToGrid/>
          <w:color w:val="auto"/>
          <w:sz w:val="32"/>
          <w:szCs w:val="32"/>
        </w:rPr>
        <w:t>合理选择参赛项目类别。参赛项目不只限于“互联网+”项目，鼓励各类创新创业项目参赛，根据“四新”建设内涵和产业发展方向选择相应类型。</w:t>
      </w:r>
    </w:p>
    <w:p>
      <w:pPr>
        <w:spacing w:line="560" w:lineRule="exact"/>
        <w:ind w:firstLine="658"/>
        <w:jc w:val="both"/>
        <w:rPr>
          <w:rFonts w:ascii="黑体" w:hAnsi="仿宋_GB2312" w:eastAsia="黑体" w:cs="仿宋_GB2312"/>
          <w:snapToGrid/>
          <w:color w:val="auto"/>
          <w:sz w:val="32"/>
          <w:szCs w:val="32"/>
        </w:rPr>
      </w:pPr>
      <w:r>
        <w:rPr>
          <w:rFonts w:ascii="黑体" w:hAnsi="仿宋_GB2312" w:eastAsia="黑体" w:cs="仿宋_GB2312"/>
          <w:snapToGrid/>
          <w:color w:val="auto"/>
          <w:sz w:val="32"/>
          <w:szCs w:val="32"/>
        </w:rPr>
        <w:t>二、参赛方式和要求</w:t>
      </w:r>
    </w:p>
    <w:p>
      <w:pPr>
        <w:spacing w:line="560" w:lineRule="exact"/>
        <w:ind w:firstLine="631"/>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（一）本赛道以团队为单位报名参赛。允许跨校组建参赛团队，每个团队的成员不少于3人，不多于15人（含团队负责人），须为项目的实际核心成员。参赛团队所报参赛创业项目</w:t>
      </w:r>
      <w:r>
        <w:rPr>
          <w:rFonts w:hint="eastAsia" w:ascii="仿宋_GB2312" w:hAnsi="仿宋_GB2312" w:eastAsia="仿宋_GB2312" w:cs="仿宋_GB2312"/>
          <w:snapToGrid/>
          <w:color w:val="auto"/>
          <w:sz w:val="32"/>
          <w:szCs w:val="32"/>
        </w:rPr>
        <w:t>，</w:t>
      </w:r>
      <w:r>
        <w:rPr>
          <w:rFonts w:ascii="仿宋_GB2312" w:hAnsi="仿宋_GB2312" w:eastAsia="仿宋_GB2312" w:cs="仿宋_GB2312"/>
          <w:snapToGrid/>
          <w:color w:val="auto"/>
          <w:sz w:val="32"/>
          <w:szCs w:val="32"/>
        </w:rPr>
        <w:t>须为本团队策划或经营的项目，不得借用他人项目参赛。</w:t>
      </w:r>
    </w:p>
    <w:p>
      <w:pPr>
        <w:spacing w:line="560" w:lineRule="exact"/>
        <w:ind w:firstLine="627"/>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spacing w:line="560" w:lineRule="exact"/>
        <w:ind w:firstLine="619"/>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（三）所有参赛材料和现场答辩原则上使用中文或英文，如有其他语言需求，请联系大赛组委会。</w:t>
      </w:r>
    </w:p>
    <w:p>
      <w:pPr>
        <w:spacing w:line="560" w:lineRule="exact"/>
        <w:ind w:firstLine="658"/>
        <w:jc w:val="both"/>
        <w:rPr>
          <w:rFonts w:ascii="黑体" w:hAnsi="仿宋_GB2312" w:eastAsia="黑体" w:cs="仿宋_GB2312"/>
          <w:snapToGrid/>
          <w:color w:val="auto"/>
          <w:sz w:val="32"/>
          <w:szCs w:val="32"/>
        </w:rPr>
      </w:pPr>
      <w:r>
        <w:rPr>
          <w:rFonts w:ascii="黑体" w:hAnsi="仿宋_GB2312" w:eastAsia="黑体" w:cs="仿宋_GB2312"/>
          <w:snapToGrid/>
          <w:color w:val="auto"/>
          <w:sz w:val="32"/>
          <w:szCs w:val="32"/>
        </w:rPr>
        <w:t>三、参赛组别和对象</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根据参赛申报人所处学习阶段，项目分为本科生组、研究生组。根据所处创业阶段，本科生组和研究生组均内设创意组、初创组、成长组，并按照新工科、新医科、新农科、新文科设置参赛项目类型。</w:t>
      </w:r>
    </w:p>
    <w:p>
      <w:pPr>
        <w:spacing w:line="560" w:lineRule="exact"/>
        <w:ind w:firstLine="657"/>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具体参赛条件如下：</w:t>
      </w:r>
    </w:p>
    <w:p>
      <w:pPr>
        <w:spacing w:line="560" w:lineRule="exact"/>
        <w:ind w:firstLine="634"/>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（一）本科生组</w:t>
      </w:r>
    </w:p>
    <w:p>
      <w:pPr>
        <w:spacing w:line="560" w:lineRule="exact"/>
        <w:ind w:firstLine="672"/>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1.创意组</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（1）参赛项目具有较好的创意和较为成型的产品原型或服务模式，在大赛通知下发之日前尚未完成工商等各类登记注册。</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（2）参赛申报人须为项目负责人，项目负责人及成员均须为普通高等学校全日制在校本专科生（不含在职教育）。</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（3）学校科技成果转化项目不能参加本组比赛（科技成果的完成人、所有人中参赛申报人排名第一的除外）。</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2.初创组</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（1）参赛项目工商等各类登记注册未满3年（2019年3月1日及以后注册）。</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（3）项目的股权结构中，企业法定代表人的股权不得少于 1/3，参赛团队成员股权合计不得少于51%。</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3.成长组</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（1）参赛项目工商等各类登记注册3年以上（2019年3月1日前注册）。</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（3）项目的股权结构中，企业法定代表人的股权不得少于 10%，参赛团队成员股权合计不得少于 1/3。</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（二）研究生组</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1.创意组</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（1）参赛项目具有较好的创意和较为成型的产品原型或服务模式，在大赛通知下发之日前尚未完成工商等各类登记注册。</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（2）参赛申报人须为项目负责人，须为普通高等学校全日制在校研究生。项目成员须为普通高等学校全日制在校研究生或本专科生（不含在职教育）。</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（3）学校科技成果转化项目不能参加本组比赛（科技成果的完成人、所有人中参赛申报人排名第一的除外）。</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2.初创组</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 1）参赛项目工商等各类登记注册未满3年（2019年3月1日及以后注册）。</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2）参赛申报人须为项目负责人且为参赛企业法定代表人，须为普通高等学校全日制在校研究生，或毕业5年以内的全日制研究生学历学生（即2017年之后的研究生学历毕业生）。企业法定代表人在大赛通知发布之日后进行变更的不予认可。</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（3）项目的股权结构中，企业法定代表人的股权不得少于1/3，参赛团队成员股权合计不得少于51%。</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3.成长组</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（1）参赛项目工商等各类登记注册3年以上（2019年3 月1日前注册）。</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2）参赛申报人须为项目负责人且为参赛企业法定代表人，须为普通高等学校全日制在校研究生，或毕业5年以内的全日制研究生学历学生（即2017年之后的研究生学历毕业生）。企业法定代表人在大赛通知发布之日后进行变更的不予认可。</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（3）项目的股权结构中</w:t>
      </w:r>
      <w:r>
        <w:rPr>
          <w:rFonts w:hint="eastAsia" w:ascii="仿宋_GB2312" w:hAnsi="仿宋_GB2312" w:eastAsia="仿宋_GB2312" w:cs="仿宋_GB2312"/>
          <w:snapToGrid/>
          <w:color w:val="auto"/>
          <w:sz w:val="32"/>
          <w:szCs w:val="32"/>
        </w:rPr>
        <w:t>，</w:t>
      </w:r>
      <w:r>
        <w:rPr>
          <w:rFonts w:ascii="仿宋_GB2312" w:hAnsi="仿宋_GB2312" w:eastAsia="仿宋_GB2312" w:cs="仿宋_GB2312"/>
          <w:snapToGrid/>
          <w:color w:val="auto"/>
          <w:sz w:val="32"/>
          <w:szCs w:val="32"/>
        </w:rPr>
        <w:t>企业法定代表人的股权不得少于10%，参赛团队成员股权合计不得少于 1/3。</w:t>
      </w:r>
    </w:p>
    <w:p>
      <w:pPr>
        <w:spacing w:line="560" w:lineRule="exact"/>
        <w:ind w:firstLine="658"/>
        <w:jc w:val="both"/>
        <w:rPr>
          <w:rFonts w:ascii="黑体" w:hAnsi="黑体" w:eastAsia="黑体" w:cs="黑体"/>
          <w:sz w:val="32"/>
          <w:szCs w:val="32"/>
        </w:rPr>
      </w:pPr>
      <w:r>
        <w:rPr>
          <w:rFonts w:ascii="黑体" w:hAnsi="仿宋_GB2312" w:eastAsia="黑体" w:cs="仿宋_GB2312"/>
          <w:snapToGrid/>
          <w:color w:val="auto"/>
          <w:sz w:val="32"/>
          <w:szCs w:val="32"/>
        </w:rPr>
        <w:t>四、奖项设置</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（一）本赛道设置金奖、银奖、铜奖，中国大陆参赛项目设金奖150个、银奖350个、铜奖1000个，中国港澳台地区参赛项目设金奖5个、银奖15个、铜奖另定，国际参赛项目设金奖50个、银奖100个、铜奖350个。</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（二）本赛道设置最佳创意奖、最佳带动就业奖、最具商业价值奖等若干单项奖。</w:t>
      </w:r>
    </w:p>
    <w:p>
      <w:pPr>
        <w:spacing w:line="560" w:lineRule="exact"/>
        <w:ind w:firstLine="643"/>
        <w:jc w:val="both"/>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（三）获得金奖项目的指导教师为“优秀创新创业导师”（限前五名）</w:t>
      </w:r>
      <w:r>
        <w:rPr>
          <w:rFonts w:hint="eastAsia" w:ascii="仿宋_GB2312" w:hAnsi="仿宋_GB2312" w:eastAsia="仿宋_GB2312" w:cs="仿宋_GB2312"/>
          <w:snapToGrid/>
          <w:color w:val="auto"/>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rPr>
        <w:rFonts w:ascii="Times New Roman" w:hAnsi="Times New Roman" w:eastAsia="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4D"/>
    <w:rsid w:val="000B39CE"/>
    <w:rsid w:val="00103BE6"/>
    <w:rsid w:val="002D020B"/>
    <w:rsid w:val="002E2C60"/>
    <w:rsid w:val="004C79CF"/>
    <w:rsid w:val="00664458"/>
    <w:rsid w:val="007762DC"/>
    <w:rsid w:val="0081741C"/>
    <w:rsid w:val="008272C0"/>
    <w:rsid w:val="0084054D"/>
    <w:rsid w:val="009D0A05"/>
    <w:rsid w:val="00AD1B6E"/>
    <w:rsid w:val="00C17FEF"/>
    <w:rsid w:val="00C71767"/>
    <w:rsid w:val="00C84C7C"/>
    <w:rsid w:val="00E42F12"/>
    <w:rsid w:val="00F2349C"/>
    <w:rsid w:val="00F70686"/>
    <w:rsid w:val="4A9E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widowControl w:val="0"/>
      <w:tabs>
        <w:tab w:val="center" w:pos="4153"/>
        <w:tab w:val="right" w:pos="8306"/>
      </w:tabs>
      <w:kinsoku/>
      <w:autoSpaceDE/>
      <w:autoSpaceDN/>
      <w:adjustRightInd/>
      <w:textAlignment w:val="auto"/>
    </w:pPr>
    <w:rPr>
      <w:rFonts w:asciiTheme="minorHAnsi" w:hAnsiTheme="minorHAnsi" w:cstheme="minorBidi"/>
      <w:snapToGrid/>
      <w:color w:val="auto"/>
      <w:kern w:val="2"/>
      <w:sz w:val="18"/>
      <w:szCs w:val="18"/>
    </w:rPr>
  </w:style>
  <w:style w:type="paragraph" w:styleId="3">
    <w:name w:val="header"/>
    <w:basedOn w:val="1"/>
    <w:link w:val="6"/>
    <w:unhideWhenUsed/>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cstheme="minorBidi"/>
      <w:snapToGrid/>
      <w:color w:val="auto"/>
      <w:kern w:val="2"/>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339</Words>
  <Characters>1936</Characters>
  <Lines>16</Lines>
  <Paragraphs>4</Paragraphs>
  <TotalTime>53</TotalTime>
  <ScaleCrop>false</ScaleCrop>
  <LinksUpToDate>false</LinksUpToDate>
  <CharactersWithSpaces>2271</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2022-04-14T01:15:00Z</dcterms:created>
  <dc:creator>Microsoft 帐户</dc:creator>
  <cp:lastModifiedBy>。</cp:lastModifiedBy>
  <dcterms:modified xsi:type="dcterms:W3CDTF">2022-05-10T05:53:01Z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FA0E757A57574832A91F39D992D9885F</vt:lpwstr>
  </property>
</Properties>
</file>