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年校园心理情景剧DV大赛评分标准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tbl>
      <w:tblPr>
        <w:tblStyle w:val="4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807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auto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auto"/>
                <w:kern w:val="2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6807" w:type="dxa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auto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auto"/>
                <w:kern w:val="2"/>
                <w:sz w:val="32"/>
                <w:szCs w:val="32"/>
                <w:shd w:val="clear" w:color="auto" w:fill="FFFFFF"/>
              </w:rPr>
              <w:t>评分标准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auto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auto"/>
                <w:kern w:val="2"/>
                <w:sz w:val="32"/>
                <w:szCs w:val="32"/>
                <w:shd w:val="clear" w:color="auto" w:fill="FFFFFF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主题</w:t>
            </w:r>
          </w:p>
        </w:tc>
        <w:tc>
          <w:tcPr>
            <w:tcW w:w="6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156" w:afterLines="50" w:afterAutospacing="0" w:line="600" w:lineRule="exact"/>
              <w:jc w:val="both"/>
              <w:textAlignment w:val="auto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符合心理健康的主题，主题明确新颖，有教育、启示意义</w:t>
            </w: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健康积极。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内容</w:t>
            </w:r>
          </w:p>
        </w:tc>
        <w:tc>
          <w:tcPr>
            <w:tcW w:w="6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156" w:afterLines="50" w:afterAutospacing="0" w:line="600" w:lineRule="exact"/>
              <w:jc w:val="both"/>
              <w:textAlignment w:val="auto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结合心理健康相关知识，反映学生各方面的现状，再现学生心理状态、学习场景、情感生活、人际关系等</w:t>
            </w: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原创作品，贴切实际，有感染力</w:t>
            </w: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。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表演</w:t>
            </w:r>
          </w:p>
        </w:tc>
        <w:tc>
          <w:tcPr>
            <w:tcW w:w="6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156" w:afterLines="50" w:afterAutospacing="0" w:line="600" w:lineRule="exact"/>
              <w:jc w:val="both"/>
              <w:textAlignment w:val="auto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表演自然、投入，吐字清晰，形象逼真，言行能很好地展现相关主题。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效果</w:t>
            </w:r>
          </w:p>
        </w:tc>
        <w:tc>
          <w:tcPr>
            <w:tcW w:w="6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156" w:afterLines="50" w:afterAutospacing="0" w:line="600" w:lineRule="exact"/>
              <w:jc w:val="both"/>
              <w:textAlignment w:val="auto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拍摄剪辑流畅，能借助一定的服装道具，场景，音效，特效等，道具使用充分合理，使得主题的表达更加形象。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时长</w:t>
            </w:r>
          </w:p>
        </w:tc>
        <w:tc>
          <w:tcPr>
            <w:tcW w:w="6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156" w:afterLines="50" w:afterAutospacing="0" w:line="600" w:lineRule="exact"/>
              <w:jc w:val="both"/>
              <w:textAlignment w:val="auto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低于3分钟或超过15分钟本项不得分。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6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总分</w:t>
            </w:r>
          </w:p>
        </w:tc>
        <w:tc>
          <w:tcPr>
            <w:tcW w:w="6807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both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spacing w:before="156" w:beforeLines="50" w:beforeAutospacing="0" w:after="156" w:afterLines="50" w:afterAutospacing="0" w:line="360" w:lineRule="auto"/>
              <w:jc w:val="center"/>
              <w:rPr>
                <w:rFonts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color w:val="333333"/>
                <w:kern w:val="2"/>
                <w:sz w:val="32"/>
                <w:szCs w:val="32"/>
                <w:shd w:val="clear" w:color="auto" w:fill="FFFFFF"/>
              </w:rPr>
              <w:t>100</w:t>
            </w:r>
          </w:p>
        </w:tc>
      </w:tr>
    </w:tbl>
    <w:p>
      <w:pPr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g0NjEwMzZmNzMwN2NmNjY3NDM4ZmYwNjM2ZDUifQ=="/>
  </w:docVars>
  <w:rsids>
    <w:rsidRoot w:val="43751F8D"/>
    <w:rsid w:val="4375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2023-10-31T06:35:00Z</dcterms:created>
  <dc:creator>梦想＆奔跑</dc:creator>
  <cp:lastModifiedBy>梦想＆奔跑</cp:lastModifiedBy>
  <dcterms:modified xsi:type="dcterms:W3CDTF">2023-10-31T06:35:39Z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D787CDD00AB0472C9428D9BB11A7F90C_11</vt:lpwstr>
  </property>
</Properties>
</file>